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A7029" w14:textId="77777777" w:rsidR="00357018" w:rsidRDefault="00357018" w:rsidP="00357018">
      <w:pPr>
        <w:jc w:val="center"/>
        <w:rPr>
          <w:b/>
          <w:bCs/>
          <w:lang w:eastAsia="en-GB"/>
        </w:rPr>
      </w:pPr>
      <w:r>
        <w:rPr>
          <w:b/>
          <w:bCs/>
          <w:lang w:eastAsia="en-GB"/>
        </w:rPr>
        <w:t>Terms of Reference for an Occupational Health and Safety</w:t>
      </w:r>
      <w:r w:rsidRPr="00997213">
        <w:rPr>
          <w:b/>
          <w:bCs/>
          <w:lang w:eastAsia="en-GB"/>
        </w:rPr>
        <w:t xml:space="preserve"> </w:t>
      </w:r>
      <w:r>
        <w:rPr>
          <w:b/>
          <w:bCs/>
          <w:lang w:eastAsia="en-GB"/>
        </w:rPr>
        <w:t xml:space="preserve">Expert in </w:t>
      </w:r>
      <w:r>
        <w:rPr>
          <w:b/>
          <w:bCs/>
          <w:lang w:eastAsia="en-GB"/>
        </w:rPr>
        <w:br/>
        <w:t xml:space="preserve">WWF Caucasus to support implementation of the Sustainable Forest </w:t>
      </w:r>
      <w:r>
        <w:rPr>
          <w:b/>
          <w:bCs/>
          <w:lang w:eastAsia="en-GB"/>
        </w:rPr>
        <w:br/>
        <w:t>Management in Adjara Project</w:t>
      </w:r>
    </w:p>
    <w:p w14:paraId="1A5DCA62" w14:textId="77777777" w:rsidR="00357018" w:rsidRDefault="00357018" w:rsidP="00357018">
      <w:pPr>
        <w:spacing w:before="240" w:after="120" w:line="252" w:lineRule="auto"/>
        <w:rPr>
          <w:b/>
          <w:bCs/>
          <w:lang w:eastAsia="en-GB"/>
        </w:rPr>
      </w:pPr>
      <w:r>
        <w:rPr>
          <w:b/>
          <w:bCs/>
          <w:lang w:eastAsia="en-GB"/>
        </w:rPr>
        <w:t>Introduction</w:t>
      </w:r>
    </w:p>
    <w:p w14:paraId="1B29E440" w14:textId="77777777" w:rsidR="00357018" w:rsidRDefault="00357018" w:rsidP="00357018">
      <w:pPr>
        <w:spacing w:after="120" w:line="252" w:lineRule="auto"/>
        <w:rPr>
          <w:lang w:eastAsia="en-GB"/>
        </w:rPr>
      </w:pPr>
      <w:r w:rsidRPr="00D71FB1">
        <w:rPr>
          <w:lang w:eastAsia="en-GB"/>
        </w:rPr>
        <w:t>The Sustainable Forest Management in Adjara project (</w:t>
      </w:r>
      <w:proofErr w:type="spellStart"/>
      <w:r w:rsidRPr="00D71FB1">
        <w:rPr>
          <w:lang w:eastAsia="en-GB"/>
        </w:rPr>
        <w:t>SFMiA</w:t>
      </w:r>
      <w:proofErr w:type="spellEnd"/>
      <w:r w:rsidRPr="00D71FB1">
        <w:rPr>
          <w:lang w:eastAsia="en-GB"/>
        </w:rPr>
        <w:t>)</w:t>
      </w:r>
      <w:r>
        <w:rPr>
          <w:lang w:eastAsia="en-GB"/>
        </w:rPr>
        <w:t xml:space="preserve"> is being</w:t>
      </w:r>
      <w:r w:rsidRPr="00D71FB1">
        <w:rPr>
          <w:lang w:eastAsia="en-GB"/>
        </w:rPr>
        <w:t xml:space="preserve"> implemented by the Adjara Forestry Agency (AFA)</w:t>
      </w:r>
      <w:r>
        <w:rPr>
          <w:lang w:eastAsia="en-GB"/>
        </w:rPr>
        <w:t xml:space="preserve"> with a grant from </w:t>
      </w:r>
      <w:r w:rsidRPr="00D71FB1">
        <w:rPr>
          <w:lang w:eastAsia="en-GB"/>
        </w:rPr>
        <w:t>the German Federal Ministry of Economic Cooperation and Development (BMZ) through the German Reconstruction Bank (KfW)</w:t>
      </w:r>
      <w:r>
        <w:rPr>
          <w:lang w:eastAsia="en-GB"/>
        </w:rPr>
        <w:t xml:space="preserve">. AFA is supported by a Project Implementation Consultant (PIC) – a joint venture between WWF Caucasus, WWF Germany and </w:t>
      </w:r>
      <w:proofErr w:type="spellStart"/>
      <w:r>
        <w:rPr>
          <w:lang w:eastAsia="en-GB"/>
        </w:rPr>
        <w:t>HessenForst</w:t>
      </w:r>
      <w:proofErr w:type="spellEnd"/>
      <w:r>
        <w:rPr>
          <w:lang w:eastAsia="en-GB"/>
        </w:rPr>
        <w:t xml:space="preserve">. </w:t>
      </w:r>
    </w:p>
    <w:p w14:paraId="31262C24" w14:textId="77777777" w:rsidR="00357018" w:rsidRDefault="00357018" w:rsidP="00357018">
      <w:pPr>
        <w:spacing w:after="120" w:line="252" w:lineRule="auto"/>
        <w:rPr>
          <w:lang w:eastAsia="en-GB"/>
        </w:rPr>
      </w:pPr>
      <w:r w:rsidRPr="00D71FB1">
        <w:rPr>
          <w:lang w:eastAsia="en-GB"/>
        </w:rPr>
        <w:t xml:space="preserve">The </w:t>
      </w:r>
      <w:proofErr w:type="spellStart"/>
      <w:r w:rsidRPr="00D71FB1">
        <w:rPr>
          <w:lang w:eastAsia="en-GB"/>
        </w:rPr>
        <w:t>SFMiA</w:t>
      </w:r>
      <w:proofErr w:type="spellEnd"/>
      <w:r w:rsidRPr="00D71FB1">
        <w:rPr>
          <w:lang w:eastAsia="en-GB"/>
        </w:rPr>
        <w:t xml:space="preserve"> project </w:t>
      </w:r>
      <w:r>
        <w:rPr>
          <w:lang w:eastAsia="en-GB"/>
        </w:rPr>
        <w:t xml:space="preserve">is </w:t>
      </w:r>
      <w:r w:rsidRPr="00D71FB1">
        <w:rPr>
          <w:lang w:eastAsia="en-GB"/>
        </w:rPr>
        <w:t>support</w:t>
      </w:r>
      <w:r>
        <w:rPr>
          <w:lang w:eastAsia="en-GB"/>
        </w:rPr>
        <w:t>ing</w:t>
      </w:r>
      <w:r w:rsidRPr="00D71FB1">
        <w:rPr>
          <w:lang w:eastAsia="en-GB"/>
        </w:rPr>
        <w:t xml:space="preserve"> AFA in its transition into a forest management organization that implements the complete cycle of sustainable forest management (including planning, tending, and restoration, cutting, transportation, storage and selling of wood as well as implementing conservation measures and measures to enhance the resilience of the forest against climatic changes).</w:t>
      </w:r>
    </w:p>
    <w:p w14:paraId="20782018" w14:textId="77777777" w:rsidR="00357018" w:rsidRDefault="00357018" w:rsidP="00357018">
      <w:pPr>
        <w:spacing w:after="120" w:line="252" w:lineRule="auto"/>
        <w:rPr>
          <w:lang w:eastAsia="en-GB"/>
        </w:rPr>
      </w:pPr>
      <w:r>
        <w:rPr>
          <w:lang w:eastAsia="en-GB"/>
        </w:rPr>
        <w:t>The terms of the BMZ grant require AFA to develop and implement procedures to avoid or mitigate occupational health and safety risks created by project activities. The procedures include:</w:t>
      </w:r>
    </w:p>
    <w:p w14:paraId="3B740958" w14:textId="77777777" w:rsidR="00357018" w:rsidRDefault="00357018" w:rsidP="00357018">
      <w:pPr>
        <w:spacing w:after="120" w:line="252" w:lineRule="auto"/>
        <w:ind w:left="540"/>
        <w:rPr>
          <w:lang w:eastAsia="en-GB"/>
        </w:rPr>
      </w:pPr>
      <w:r w:rsidRPr="004279D1">
        <w:rPr>
          <w:b/>
          <w:bCs/>
          <w:lang w:eastAsia="en-GB"/>
        </w:rPr>
        <w:t xml:space="preserve">Occupational health and safety guidelines </w:t>
      </w:r>
      <w:r w:rsidRPr="004279D1">
        <w:rPr>
          <w:lang w:eastAsia="en-GB"/>
        </w:rPr>
        <w:t>and</w:t>
      </w:r>
      <w:r w:rsidRPr="004279D1">
        <w:rPr>
          <w:b/>
          <w:bCs/>
          <w:lang w:eastAsia="en-GB"/>
        </w:rPr>
        <w:t xml:space="preserve"> Guideline on safe working practice in forestry operations</w:t>
      </w:r>
      <w:r w:rsidRPr="007B2887">
        <w:rPr>
          <w:lang w:eastAsia="en-GB"/>
        </w:rPr>
        <w:t xml:space="preserve"> </w:t>
      </w:r>
      <w:r>
        <w:rPr>
          <w:lang w:eastAsia="en-GB"/>
        </w:rPr>
        <w:t xml:space="preserve">as a part of an </w:t>
      </w:r>
      <w:r w:rsidRPr="00D243DC">
        <w:rPr>
          <w:lang w:eastAsia="en-GB"/>
        </w:rPr>
        <w:t>Environmental and Social Management Framework (ESMF)</w:t>
      </w:r>
      <w:r w:rsidRPr="00624840">
        <w:rPr>
          <w:lang w:eastAsia="en-GB"/>
        </w:rPr>
        <w:t xml:space="preserve">, </w:t>
      </w:r>
      <w:r w:rsidRPr="003532A6">
        <w:rPr>
          <w:lang w:eastAsia="en-GB"/>
        </w:rPr>
        <w:t>which</w:t>
      </w:r>
      <w:r>
        <w:rPr>
          <w:b/>
          <w:bCs/>
          <w:lang w:eastAsia="en-GB"/>
        </w:rPr>
        <w:t xml:space="preserve"> </w:t>
      </w:r>
      <w:r>
        <w:rPr>
          <w:lang w:eastAsia="en-GB"/>
        </w:rPr>
        <w:t xml:space="preserve">sets out procedures for assessing risks and provides guidance on measures to avoid or mitigate risks of the project </w:t>
      </w:r>
      <w:proofErr w:type="gramStart"/>
      <w:r>
        <w:rPr>
          <w:lang w:eastAsia="en-GB"/>
        </w:rPr>
        <w:t>activities;</w:t>
      </w:r>
      <w:proofErr w:type="gramEnd"/>
    </w:p>
    <w:p w14:paraId="6D973987" w14:textId="77777777" w:rsidR="00357018" w:rsidRDefault="00357018" w:rsidP="00357018">
      <w:pPr>
        <w:spacing w:after="120" w:line="252" w:lineRule="auto"/>
        <w:rPr>
          <w:lang w:eastAsia="en-GB"/>
        </w:rPr>
      </w:pPr>
      <w:r>
        <w:rPr>
          <w:lang w:eastAsia="en-GB"/>
        </w:rPr>
        <w:t>The terms also require AFA to report every six months to KfW on the implementation of environmental and social safeguards and to implement reporting of serious incidents and accidents which largely cover occupational health and safety issues.</w:t>
      </w:r>
    </w:p>
    <w:p w14:paraId="5D86D199" w14:textId="77777777" w:rsidR="00357018" w:rsidRDefault="00357018" w:rsidP="00357018">
      <w:pPr>
        <w:spacing w:after="120" w:line="252" w:lineRule="auto"/>
        <w:rPr>
          <w:lang w:eastAsia="en-GB"/>
        </w:rPr>
      </w:pPr>
      <w:r>
        <w:rPr>
          <w:lang w:eastAsia="en-GB"/>
        </w:rPr>
        <w:t xml:space="preserve">The PIC supports AFA by providing guidance, elaborating procedures and methods for assessing and managing risks, giving training, and monitoring implementation of the project’s occupational health and safety and providing feedback by means of monitoring reports. </w:t>
      </w:r>
    </w:p>
    <w:p w14:paraId="1823C79B" w14:textId="77777777" w:rsidR="00357018" w:rsidRDefault="00357018" w:rsidP="00357018">
      <w:pPr>
        <w:spacing w:after="120" w:line="252" w:lineRule="auto"/>
        <w:rPr>
          <w:lang w:eastAsia="en-GB"/>
        </w:rPr>
      </w:pPr>
      <w:r>
        <w:rPr>
          <w:lang w:eastAsia="en-GB"/>
        </w:rPr>
        <w:t xml:space="preserve">The PIC </w:t>
      </w:r>
      <w:proofErr w:type="gramStart"/>
      <w:r>
        <w:rPr>
          <w:lang w:eastAsia="en-GB"/>
        </w:rPr>
        <w:t>has to</w:t>
      </w:r>
      <w:proofErr w:type="gramEnd"/>
      <w:r>
        <w:rPr>
          <w:lang w:eastAsia="en-GB"/>
        </w:rPr>
        <w:t xml:space="preserve"> prepare the </w:t>
      </w:r>
      <w:r w:rsidRPr="007B2887">
        <w:rPr>
          <w:lang w:eastAsia="en-GB"/>
        </w:rPr>
        <w:t>Occupational health and safety guideline</w:t>
      </w:r>
      <w:r>
        <w:rPr>
          <w:lang w:eastAsia="en-GB"/>
        </w:rPr>
        <w:t xml:space="preserve">s and </w:t>
      </w:r>
      <w:r w:rsidRPr="007B2887">
        <w:rPr>
          <w:lang w:eastAsia="en-GB"/>
        </w:rPr>
        <w:t>Guideline on safe working practice in forestry operations</w:t>
      </w:r>
      <w:r>
        <w:rPr>
          <w:lang w:eastAsia="en-GB"/>
        </w:rPr>
        <w:t xml:space="preserve"> and then train AFA’s staff who will be involved in implementing the guidelines. The PIC will give further trainings if the findings from the regular monitoring of AFA’s implementation of environmental and social safeguards show that they are needed.</w:t>
      </w:r>
    </w:p>
    <w:p w14:paraId="2FAD43CD" w14:textId="77777777" w:rsidR="00357018" w:rsidRDefault="00357018" w:rsidP="00357018">
      <w:pPr>
        <w:spacing w:after="120" w:line="252" w:lineRule="auto"/>
        <w:rPr>
          <w:lang w:eastAsia="en-GB"/>
        </w:rPr>
      </w:pPr>
      <w:r>
        <w:rPr>
          <w:lang w:eastAsia="en-GB"/>
        </w:rPr>
        <w:t>Depending on the outcomes of a future assessment of needs, the project may also have to prepare additional occupational and health guidelines, for example for the operation of woodyards.</w:t>
      </w:r>
    </w:p>
    <w:p w14:paraId="250ED5AF" w14:textId="77777777" w:rsidR="00357018" w:rsidRDefault="00357018" w:rsidP="00357018">
      <w:pPr>
        <w:spacing w:before="240" w:after="120" w:line="252" w:lineRule="auto"/>
        <w:rPr>
          <w:b/>
          <w:bCs/>
          <w:lang w:eastAsia="en-GB"/>
        </w:rPr>
      </w:pPr>
      <w:r>
        <w:rPr>
          <w:b/>
          <w:bCs/>
          <w:lang w:eastAsia="en-GB"/>
        </w:rPr>
        <w:t>Tasks of the new National Occupational Health and Safety Expert</w:t>
      </w:r>
    </w:p>
    <w:p w14:paraId="4528559E" w14:textId="77777777" w:rsidR="00357018" w:rsidRDefault="00357018" w:rsidP="00357018">
      <w:pPr>
        <w:pStyle w:val="ListParagraph"/>
        <w:numPr>
          <w:ilvl w:val="0"/>
          <w:numId w:val="2"/>
        </w:numPr>
        <w:spacing w:after="120" w:line="252" w:lineRule="auto"/>
        <w:contextualSpacing w:val="0"/>
        <w:rPr>
          <w:b/>
          <w:bCs/>
          <w:lang w:eastAsia="en-GB"/>
        </w:rPr>
      </w:pPr>
      <w:r>
        <w:rPr>
          <w:b/>
          <w:bCs/>
          <w:lang w:eastAsia="en-GB"/>
        </w:rPr>
        <w:t>Developing and Reviewing Occupational Health and Safety documents</w:t>
      </w:r>
    </w:p>
    <w:p w14:paraId="37696D55" w14:textId="77777777" w:rsidR="00357018" w:rsidRPr="003E5E90" w:rsidRDefault="00357018" w:rsidP="00357018">
      <w:pPr>
        <w:pStyle w:val="ListParagraph"/>
        <w:numPr>
          <w:ilvl w:val="0"/>
          <w:numId w:val="3"/>
        </w:numPr>
        <w:spacing w:after="120" w:line="252" w:lineRule="auto"/>
        <w:jc w:val="both"/>
        <w:textAlignment w:val="baseline"/>
        <w:rPr>
          <w:rFonts w:eastAsia="Times New Roman" w:cs="Calibri"/>
          <w:color w:val="000000"/>
          <w:kern w:val="0"/>
          <w:lang w:eastAsia="en-GB"/>
          <w14:ligatures w14:val="none"/>
        </w:rPr>
      </w:pPr>
      <w:r w:rsidRPr="003E5E90">
        <w:rPr>
          <w:rFonts w:eastAsia="Times New Roman" w:cs="Calibri"/>
          <w:color w:val="000000"/>
          <w:kern w:val="0"/>
          <w:lang w:eastAsia="en-GB"/>
          <w14:ligatures w14:val="none"/>
        </w:rPr>
        <w:t>D</w:t>
      </w:r>
      <w:r w:rsidRPr="00563DAF">
        <w:rPr>
          <w:rFonts w:eastAsia="Times New Roman" w:cs="Calibri"/>
          <w:color w:val="000000"/>
          <w:kern w:val="0"/>
          <w:lang w:eastAsia="en-GB"/>
          <w14:ligatures w14:val="none"/>
        </w:rPr>
        <w:t>evelop an Occupational health and safety guideline for the Project (Annex 2.2 for ESMF)</w:t>
      </w:r>
      <w:r>
        <w:rPr>
          <w:rFonts w:eastAsia="Times New Roman" w:cs="Calibri"/>
          <w:color w:val="000000"/>
          <w:kern w:val="0"/>
          <w:lang w:eastAsia="en-GB"/>
          <w14:ligatures w14:val="none"/>
        </w:rPr>
        <w:t xml:space="preserve"> in 30 working days.</w:t>
      </w:r>
    </w:p>
    <w:p w14:paraId="62943509" w14:textId="77777777" w:rsidR="00357018" w:rsidRPr="00563DAF" w:rsidRDefault="00357018" w:rsidP="00357018">
      <w:pPr>
        <w:pStyle w:val="ListParagraph"/>
        <w:numPr>
          <w:ilvl w:val="0"/>
          <w:numId w:val="3"/>
        </w:numPr>
        <w:spacing w:after="120" w:line="252" w:lineRule="auto"/>
        <w:contextualSpacing w:val="0"/>
        <w:rPr>
          <w:b/>
          <w:bCs/>
          <w:lang w:eastAsia="en-GB"/>
        </w:rPr>
      </w:pPr>
      <w:r>
        <w:rPr>
          <w:rFonts w:eastAsia="Times New Roman" w:cs="Calibri"/>
          <w:color w:val="000000"/>
          <w:kern w:val="0"/>
          <w:lang w:eastAsia="en-GB"/>
          <w14:ligatures w14:val="none"/>
        </w:rPr>
        <w:t xml:space="preserve">Review and finalise </w:t>
      </w:r>
      <w:r w:rsidRPr="00563DAF">
        <w:rPr>
          <w:rFonts w:eastAsia="Times New Roman" w:cs="Calibri"/>
          <w:color w:val="000000"/>
          <w:kern w:val="0"/>
          <w:lang w:eastAsia="en-GB"/>
          <w14:ligatures w14:val="none"/>
        </w:rPr>
        <w:t xml:space="preserve">a </w:t>
      </w:r>
      <w:r>
        <w:rPr>
          <w:rFonts w:eastAsia="Times New Roman" w:cs="Calibri"/>
          <w:color w:val="000000"/>
          <w:kern w:val="0"/>
          <w:lang w:eastAsia="en-GB"/>
          <w14:ligatures w14:val="none"/>
        </w:rPr>
        <w:t xml:space="preserve">draft </w:t>
      </w:r>
      <w:r w:rsidRPr="00563DAF">
        <w:rPr>
          <w:rFonts w:eastAsia="Times New Roman" w:cs="Calibri"/>
          <w:color w:val="000000"/>
          <w:kern w:val="0"/>
          <w:lang w:eastAsia="en-GB"/>
          <w14:ligatures w14:val="none"/>
        </w:rPr>
        <w:t>Guideline on safe working practice in forestry operations (Annex 2.3 for ESMF)</w:t>
      </w:r>
      <w:r>
        <w:rPr>
          <w:rFonts w:eastAsia="Times New Roman" w:cs="Calibri"/>
          <w:color w:val="000000"/>
          <w:kern w:val="0"/>
          <w:lang w:eastAsia="en-GB"/>
          <w14:ligatures w14:val="none"/>
        </w:rPr>
        <w:t>, provide feedback and follow up till the final version is completed in 14 working days</w:t>
      </w:r>
      <w:r w:rsidRPr="00563DAF">
        <w:rPr>
          <w:rFonts w:eastAsia="Times New Roman" w:cs="Calibri"/>
          <w:color w:val="000000"/>
          <w:kern w:val="0"/>
          <w:lang w:eastAsia="en-GB"/>
          <w14:ligatures w14:val="none"/>
        </w:rPr>
        <w:t xml:space="preserve">. </w:t>
      </w:r>
    </w:p>
    <w:p w14:paraId="6AC38E55" w14:textId="77777777" w:rsidR="00357018" w:rsidRPr="007D237E" w:rsidRDefault="00357018" w:rsidP="00357018">
      <w:pPr>
        <w:pStyle w:val="ListParagraph"/>
        <w:numPr>
          <w:ilvl w:val="0"/>
          <w:numId w:val="2"/>
        </w:numPr>
        <w:spacing w:after="120" w:line="252" w:lineRule="auto"/>
        <w:contextualSpacing w:val="0"/>
        <w:rPr>
          <w:b/>
          <w:bCs/>
          <w:lang w:eastAsia="en-GB"/>
        </w:rPr>
      </w:pPr>
      <w:r w:rsidRPr="007D237E">
        <w:rPr>
          <w:b/>
          <w:bCs/>
          <w:lang w:eastAsia="en-GB"/>
        </w:rPr>
        <w:t>Train</w:t>
      </w:r>
      <w:r>
        <w:rPr>
          <w:b/>
          <w:bCs/>
          <w:lang w:eastAsia="en-GB"/>
        </w:rPr>
        <w:t>ing A</w:t>
      </w:r>
      <w:r w:rsidRPr="007D237E">
        <w:rPr>
          <w:b/>
          <w:bCs/>
          <w:lang w:eastAsia="en-GB"/>
        </w:rPr>
        <w:t>FA</w:t>
      </w:r>
      <w:r>
        <w:rPr>
          <w:b/>
          <w:bCs/>
          <w:lang w:eastAsia="en-GB"/>
        </w:rPr>
        <w:t>’s</w:t>
      </w:r>
      <w:r w:rsidRPr="007D237E">
        <w:rPr>
          <w:b/>
          <w:bCs/>
          <w:lang w:eastAsia="en-GB"/>
        </w:rPr>
        <w:t xml:space="preserve"> staff</w:t>
      </w:r>
      <w:r>
        <w:rPr>
          <w:b/>
          <w:bCs/>
          <w:lang w:eastAsia="en-GB"/>
        </w:rPr>
        <w:t xml:space="preserve"> </w:t>
      </w:r>
    </w:p>
    <w:p w14:paraId="6B383A94" w14:textId="77777777" w:rsidR="00357018" w:rsidRDefault="00357018" w:rsidP="00357018">
      <w:pPr>
        <w:numPr>
          <w:ilvl w:val="0"/>
          <w:numId w:val="1"/>
        </w:numPr>
        <w:spacing w:after="120" w:line="252" w:lineRule="auto"/>
        <w:ind w:left="714" w:hanging="357"/>
        <w:jc w:val="both"/>
        <w:textAlignment w:val="baseline"/>
        <w:rPr>
          <w:rFonts w:eastAsia="Times New Roman" w:cs="Calibri"/>
          <w:color w:val="000000"/>
          <w:kern w:val="0"/>
          <w:lang w:eastAsia="en-GB"/>
          <w14:ligatures w14:val="none"/>
        </w:rPr>
      </w:pPr>
      <w:r>
        <w:rPr>
          <w:rFonts w:eastAsia="Times New Roman" w:cs="Calibri"/>
          <w:color w:val="000000"/>
          <w:kern w:val="0"/>
          <w:lang w:eastAsia="en-GB"/>
          <w14:ligatures w14:val="none"/>
        </w:rPr>
        <w:lastRenderedPageBreak/>
        <w:t>T</w:t>
      </w:r>
      <w:r w:rsidRPr="007D237E">
        <w:rPr>
          <w:rFonts w:eastAsia="Times New Roman" w:cs="Calibri"/>
          <w:color w:val="000000"/>
          <w:kern w:val="0"/>
          <w:lang w:eastAsia="en-GB"/>
          <w14:ligatures w14:val="none"/>
        </w:rPr>
        <w:t>he new Na</w:t>
      </w:r>
      <w:r>
        <w:rPr>
          <w:rFonts w:eastAsia="Times New Roman" w:cs="Calibri"/>
          <w:color w:val="000000"/>
          <w:kern w:val="0"/>
          <w:lang w:eastAsia="en-GB"/>
          <w14:ligatures w14:val="none"/>
        </w:rPr>
        <w:t>tional Occupational Health and Safety</w:t>
      </w:r>
      <w:r w:rsidRPr="007D237E">
        <w:rPr>
          <w:rFonts w:eastAsia="Times New Roman" w:cs="Calibri"/>
          <w:color w:val="000000"/>
          <w:kern w:val="0"/>
          <w:lang w:eastAsia="en-GB"/>
          <w14:ligatures w14:val="none"/>
        </w:rPr>
        <w:t xml:space="preserve"> Expert</w:t>
      </w:r>
      <w:r>
        <w:rPr>
          <w:rFonts w:eastAsia="Times New Roman" w:cs="Calibri"/>
          <w:color w:val="000000"/>
          <w:kern w:val="0"/>
          <w:lang w:eastAsia="en-GB"/>
          <w14:ligatures w14:val="none"/>
        </w:rPr>
        <w:t xml:space="preserve"> </w:t>
      </w:r>
      <w:proofErr w:type="gramStart"/>
      <w:r>
        <w:rPr>
          <w:rFonts w:eastAsia="Times New Roman" w:cs="Calibri"/>
          <w:color w:val="000000"/>
          <w:kern w:val="0"/>
          <w:lang w:eastAsia="en-GB"/>
          <w14:ligatures w14:val="none"/>
        </w:rPr>
        <w:t>provides</w:t>
      </w:r>
      <w:proofErr w:type="gramEnd"/>
      <w:r>
        <w:rPr>
          <w:rFonts w:eastAsia="Times New Roman" w:cs="Calibri"/>
          <w:color w:val="000000"/>
          <w:kern w:val="0"/>
          <w:lang w:eastAsia="en-GB"/>
          <w14:ligatures w14:val="none"/>
        </w:rPr>
        <w:t xml:space="preserve"> training to AFA staff after finalisation and confirmation of guidelines (maximum 5 working days).</w:t>
      </w:r>
    </w:p>
    <w:p w14:paraId="672C2897" w14:textId="77777777" w:rsidR="00357018" w:rsidRPr="007D237E" w:rsidRDefault="00357018" w:rsidP="00357018">
      <w:pPr>
        <w:numPr>
          <w:ilvl w:val="0"/>
          <w:numId w:val="1"/>
        </w:numPr>
        <w:spacing w:after="120" w:line="252" w:lineRule="auto"/>
        <w:ind w:left="714" w:hanging="357"/>
        <w:jc w:val="both"/>
        <w:textAlignment w:val="baseline"/>
        <w:rPr>
          <w:rFonts w:eastAsia="Times New Roman" w:cs="Calibri"/>
          <w:color w:val="000000"/>
          <w:kern w:val="0"/>
          <w:lang w:eastAsia="en-GB"/>
          <w14:ligatures w14:val="none"/>
        </w:rPr>
      </w:pPr>
      <w:r>
        <w:rPr>
          <w:rFonts w:eastAsia="Times New Roman" w:cs="Calibri"/>
          <w:color w:val="000000"/>
          <w:kern w:val="0"/>
          <w:lang w:eastAsia="en-GB"/>
          <w14:ligatures w14:val="none"/>
        </w:rPr>
        <w:t xml:space="preserve">In the light of the regular monitoring of AFA’s implementation of health and safety procedures determine the need for further training. </w:t>
      </w:r>
    </w:p>
    <w:p w14:paraId="241E0731" w14:textId="77777777" w:rsidR="00357018" w:rsidRPr="007D237E" w:rsidRDefault="00357018" w:rsidP="00357018">
      <w:pPr>
        <w:pStyle w:val="ListParagraph"/>
        <w:numPr>
          <w:ilvl w:val="0"/>
          <w:numId w:val="2"/>
        </w:numPr>
        <w:spacing w:after="120" w:line="252" w:lineRule="auto"/>
        <w:contextualSpacing w:val="0"/>
        <w:rPr>
          <w:b/>
          <w:bCs/>
          <w:lang w:eastAsia="en-GB"/>
        </w:rPr>
      </w:pPr>
      <w:r>
        <w:rPr>
          <w:b/>
          <w:bCs/>
          <w:lang w:eastAsia="en-GB"/>
        </w:rPr>
        <w:t>Monitoring implementation of the project’s occupational health and safety procedures</w:t>
      </w:r>
    </w:p>
    <w:p w14:paraId="2F06B094" w14:textId="77777777" w:rsidR="00357018" w:rsidRDefault="00357018" w:rsidP="00357018">
      <w:pPr>
        <w:numPr>
          <w:ilvl w:val="0"/>
          <w:numId w:val="4"/>
        </w:numPr>
        <w:spacing w:after="120" w:line="252" w:lineRule="auto"/>
        <w:jc w:val="both"/>
        <w:textAlignment w:val="baseline"/>
        <w:rPr>
          <w:rFonts w:eastAsia="Times New Roman" w:cs="Calibri"/>
          <w:color w:val="000000"/>
          <w:kern w:val="0"/>
          <w:lang w:eastAsia="en-GB"/>
          <w14:ligatures w14:val="none"/>
        </w:rPr>
      </w:pPr>
      <w:r>
        <w:rPr>
          <w:rFonts w:eastAsia="Times New Roman" w:cs="Calibri"/>
          <w:color w:val="000000"/>
          <w:kern w:val="0"/>
          <w:lang w:eastAsia="en-GB"/>
          <w14:ligatures w14:val="none"/>
        </w:rPr>
        <w:t xml:space="preserve">Monitor the implementation of the occupational health and safety guidelines of the Project for a year (maximum 20 working days). </w:t>
      </w:r>
    </w:p>
    <w:p w14:paraId="2EB0E613" w14:textId="77777777" w:rsidR="00357018" w:rsidRDefault="00357018" w:rsidP="00357018">
      <w:pPr>
        <w:spacing w:after="120" w:line="252" w:lineRule="auto"/>
        <w:jc w:val="both"/>
        <w:textAlignment w:val="baseline"/>
        <w:rPr>
          <w:rFonts w:eastAsia="Times New Roman" w:cs="Calibri"/>
          <w:color w:val="000000"/>
          <w:kern w:val="0"/>
          <w:lang w:eastAsia="en-GB"/>
          <w14:ligatures w14:val="none"/>
        </w:rPr>
      </w:pPr>
    </w:p>
    <w:p w14:paraId="5377253E" w14:textId="77777777" w:rsidR="00357018" w:rsidRPr="00B30756" w:rsidRDefault="00357018" w:rsidP="00357018">
      <w:pPr>
        <w:spacing w:after="120" w:line="252" w:lineRule="auto"/>
        <w:jc w:val="both"/>
        <w:textAlignment w:val="baseline"/>
        <w:rPr>
          <w:rFonts w:eastAsia="Times New Roman" w:cs="Calibri"/>
          <w:b/>
          <w:bCs/>
          <w:color w:val="000000"/>
          <w:kern w:val="0"/>
          <w:lang w:eastAsia="en-GB"/>
          <w14:ligatures w14:val="none"/>
        </w:rPr>
      </w:pPr>
      <w:r w:rsidRPr="00B30756">
        <w:rPr>
          <w:rFonts w:eastAsia="Times New Roman" w:cs="Calibri"/>
          <w:b/>
          <w:bCs/>
          <w:color w:val="000000"/>
          <w:kern w:val="0"/>
          <w:lang w:eastAsia="en-GB"/>
          <w14:ligatures w14:val="none"/>
        </w:rPr>
        <w:t>Indicative Time Schedule (subject to discussion and confirmation with the expert after hiring):</w:t>
      </w:r>
    </w:p>
    <w:p w14:paraId="1CDC9A29" w14:textId="77777777" w:rsidR="00357018" w:rsidRDefault="00357018" w:rsidP="00357018">
      <w:pPr>
        <w:pStyle w:val="ListParagraph"/>
        <w:numPr>
          <w:ilvl w:val="0"/>
          <w:numId w:val="5"/>
        </w:numPr>
        <w:spacing w:after="120" w:line="252" w:lineRule="auto"/>
        <w:jc w:val="both"/>
        <w:textAlignment w:val="baseline"/>
        <w:rPr>
          <w:rFonts w:eastAsia="Times New Roman" w:cs="Calibri"/>
          <w:color w:val="000000"/>
          <w:kern w:val="0"/>
          <w:lang w:eastAsia="en-GB"/>
          <w14:ligatures w14:val="none"/>
        </w:rPr>
      </w:pPr>
      <w:r>
        <w:rPr>
          <w:rFonts w:eastAsia="Times New Roman" w:cs="Calibri"/>
          <w:color w:val="000000"/>
          <w:kern w:val="0"/>
          <w:lang w:eastAsia="en-GB"/>
          <w14:ligatures w14:val="none"/>
        </w:rPr>
        <w:t xml:space="preserve"> Develop the draft of the </w:t>
      </w:r>
      <w:r w:rsidRPr="00563DAF">
        <w:rPr>
          <w:rFonts w:eastAsia="Times New Roman" w:cs="Calibri"/>
          <w:color w:val="000000"/>
          <w:kern w:val="0"/>
          <w:lang w:eastAsia="en-GB"/>
          <w14:ligatures w14:val="none"/>
        </w:rPr>
        <w:t>Occupational health and safety guideline for the Project</w:t>
      </w:r>
      <w:r>
        <w:rPr>
          <w:rFonts w:eastAsia="Times New Roman" w:cs="Calibri"/>
          <w:color w:val="000000"/>
          <w:kern w:val="0"/>
          <w:lang w:eastAsia="en-GB"/>
          <w14:ligatures w14:val="none"/>
        </w:rPr>
        <w:t xml:space="preserve"> – End of </w:t>
      </w:r>
      <w:proofErr w:type="gramStart"/>
      <w:r>
        <w:rPr>
          <w:rFonts w:eastAsia="Times New Roman" w:cs="Calibri"/>
          <w:color w:val="000000"/>
          <w:kern w:val="0"/>
          <w:lang w:eastAsia="en-GB"/>
          <w14:ligatures w14:val="none"/>
        </w:rPr>
        <w:t>April;</w:t>
      </w:r>
      <w:proofErr w:type="gramEnd"/>
    </w:p>
    <w:p w14:paraId="5612DA2E" w14:textId="77777777" w:rsidR="00357018" w:rsidRDefault="00357018" w:rsidP="00357018">
      <w:pPr>
        <w:pStyle w:val="ListParagraph"/>
        <w:numPr>
          <w:ilvl w:val="0"/>
          <w:numId w:val="5"/>
        </w:numPr>
        <w:spacing w:after="120" w:line="252" w:lineRule="auto"/>
        <w:jc w:val="both"/>
        <w:textAlignment w:val="baseline"/>
        <w:rPr>
          <w:rFonts w:eastAsia="Times New Roman" w:cs="Calibri"/>
          <w:color w:val="000000"/>
          <w:kern w:val="0"/>
          <w:lang w:eastAsia="en-GB"/>
          <w14:ligatures w14:val="none"/>
        </w:rPr>
      </w:pPr>
      <w:r>
        <w:rPr>
          <w:rFonts w:eastAsia="Times New Roman" w:cs="Calibri"/>
          <w:color w:val="000000"/>
          <w:kern w:val="0"/>
          <w:lang w:eastAsia="en-GB"/>
          <w14:ligatures w14:val="none"/>
        </w:rPr>
        <w:t>Review</w:t>
      </w:r>
      <w:r w:rsidRPr="00563DAF">
        <w:rPr>
          <w:rFonts w:eastAsia="Times New Roman" w:cs="Calibri"/>
          <w:color w:val="000000"/>
          <w:kern w:val="0"/>
          <w:lang w:eastAsia="en-GB"/>
          <w14:ligatures w14:val="none"/>
        </w:rPr>
        <w:t xml:space="preserve"> </w:t>
      </w:r>
      <w:r>
        <w:rPr>
          <w:rFonts w:eastAsia="Times New Roman" w:cs="Calibri"/>
          <w:color w:val="000000"/>
          <w:kern w:val="0"/>
          <w:lang w:eastAsia="en-GB"/>
          <w14:ligatures w14:val="none"/>
        </w:rPr>
        <w:t xml:space="preserve">draft </w:t>
      </w:r>
      <w:r w:rsidRPr="00563DAF">
        <w:rPr>
          <w:rFonts w:eastAsia="Times New Roman" w:cs="Calibri"/>
          <w:color w:val="000000"/>
          <w:kern w:val="0"/>
          <w:lang w:eastAsia="en-GB"/>
          <w14:ligatures w14:val="none"/>
        </w:rPr>
        <w:t xml:space="preserve">Guideline on safe working practice in forestry operations </w:t>
      </w:r>
      <w:r>
        <w:rPr>
          <w:rFonts w:eastAsia="Times New Roman" w:cs="Calibri"/>
          <w:color w:val="000000"/>
          <w:kern w:val="0"/>
          <w:lang w:eastAsia="en-GB"/>
          <w14:ligatures w14:val="none"/>
        </w:rPr>
        <w:t xml:space="preserve">– End of April </w:t>
      </w:r>
      <w:proofErr w:type="gramStart"/>
      <w:r>
        <w:rPr>
          <w:rFonts w:eastAsia="Times New Roman" w:cs="Calibri"/>
          <w:color w:val="000000"/>
          <w:kern w:val="0"/>
          <w:lang w:eastAsia="en-GB"/>
          <w14:ligatures w14:val="none"/>
        </w:rPr>
        <w:t>2026;</w:t>
      </w:r>
      <w:proofErr w:type="gramEnd"/>
    </w:p>
    <w:p w14:paraId="2C48F4E6" w14:textId="77777777" w:rsidR="00357018" w:rsidRDefault="00357018" w:rsidP="00357018">
      <w:pPr>
        <w:pStyle w:val="ListParagraph"/>
        <w:numPr>
          <w:ilvl w:val="0"/>
          <w:numId w:val="5"/>
        </w:numPr>
        <w:spacing w:after="120" w:line="252" w:lineRule="auto"/>
        <w:jc w:val="both"/>
        <w:textAlignment w:val="baseline"/>
        <w:rPr>
          <w:rFonts w:eastAsia="Times New Roman" w:cs="Calibri"/>
          <w:color w:val="000000"/>
          <w:kern w:val="0"/>
          <w:lang w:eastAsia="en-GB"/>
          <w14:ligatures w14:val="none"/>
        </w:rPr>
      </w:pPr>
      <w:r>
        <w:rPr>
          <w:rFonts w:eastAsia="Times New Roman" w:cs="Calibri"/>
          <w:color w:val="000000"/>
          <w:kern w:val="0"/>
          <w:lang w:eastAsia="en-GB"/>
          <w14:ligatures w14:val="none"/>
        </w:rPr>
        <w:t xml:space="preserve">Develop final versions of the guidelines after receiving feedback – End of May </w:t>
      </w:r>
      <w:proofErr w:type="gramStart"/>
      <w:r>
        <w:rPr>
          <w:rFonts w:eastAsia="Times New Roman" w:cs="Calibri"/>
          <w:color w:val="000000"/>
          <w:kern w:val="0"/>
          <w:lang w:eastAsia="en-GB"/>
          <w14:ligatures w14:val="none"/>
        </w:rPr>
        <w:t>2026;</w:t>
      </w:r>
      <w:proofErr w:type="gramEnd"/>
    </w:p>
    <w:p w14:paraId="05E7DB66" w14:textId="77777777" w:rsidR="00357018" w:rsidRDefault="00357018" w:rsidP="00357018">
      <w:pPr>
        <w:pStyle w:val="ListParagraph"/>
        <w:numPr>
          <w:ilvl w:val="0"/>
          <w:numId w:val="5"/>
        </w:numPr>
        <w:spacing w:after="120" w:line="252" w:lineRule="auto"/>
        <w:jc w:val="both"/>
        <w:textAlignment w:val="baseline"/>
        <w:rPr>
          <w:rFonts w:eastAsia="Times New Roman" w:cs="Calibri"/>
          <w:color w:val="000000"/>
          <w:kern w:val="0"/>
          <w:lang w:eastAsia="en-GB"/>
          <w14:ligatures w14:val="none"/>
        </w:rPr>
      </w:pPr>
      <w:r>
        <w:rPr>
          <w:rFonts w:eastAsia="Times New Roman" w:cs="Calibri"/>
          <w:color w:val="000000"/>
          <w:kern w:val="0"/>
          <w:lang w:eastAsia="en-GB"/>
          <w14:ligatures w14:val="none"/>
        </w:rPr>
        <w:t xml:space="preserve">Provide training for AFA staff on the new guidelines – June </w:t>
      </w:r>
      <w:proofErr w:type="gramStart"/>
      <w:r>
        <w:rPr>
          <w:rFonts w:eastAsia="Times New Roman" w:cs="Calibri"/>
          <w:color w:val="000000"/>
          <w:kern w:val="0"/>
          <w:lang w:eastAsia="en-GB"/>
          <w14:ligatures w14:val="none"/>
        </w:rPr>
        <w:t>2026;</w:t>
      </w:r>
      <w:proofErr w:type="gramEnd"/>
    </w:p>
    <w:p w14:paraId="2AD8823E" w14:textId="77777777" w:rsidR="00357018" w:rsidRPr="00B30756" w:rsidRDefault="00357018" w:rsidP="00357018">
      <w:pPr>
        <w:pStyle w:val="ListParagraph"/>
        <w:numPr>
          <w:ilvl w:val="0"/>
          <w:numId w:val="5"/>
        </w:numPr>
        <w:spacing w:after="120" w:line="252" w:lineRule="auto"/>
        <w:jc w:val="both"/>
        <w:textAlignment w:val="baseline"/>
        <w:rPr>
          <w:rFonts w:eastAsia="Times New Roman" w:cs="Calibri"/>
          <w:color w:val="000000"/>
          <w:kern w:val="0"/>
          <w:lang w:eastAsia="en-GB"/>
          <w14:ligatures w14:val="none"/>
        </w:rPr>
      </w:pPr>
      <w:r>
        <w:rPr>
          <w:rFonts w:eastAsia="Times New Roman" w:cs="Calibri"/>
          <w:color w:val="000000"/>
          <w:kern w:val="0"/>
          <w:lang w:eastAsia="en-GB"/>
          <w14:ligatures w14:val="none"/>
        </w:rPr>
        <w:t>Develop monitoring plan – July 2026.</w:t>
      </w:r>
    </w:p>
    <w:p w14:paraId="7EA36BA4" w14:textId="77777777" w:rsidR="00101CF7" w:rsidRDefault="00101CF7"/>
    <w:sectPr w:rsidR="00101C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42F51"/>
    <w:multiLevelType w:val="multilevel"/>
    <w:tmpl w:val="DD9E7C10"/>
    <w:lvl w:ilvl="0">
      <w:start w:val="1"/>
      <w:numFmt w:val="decimal"/>
      <w:lvlText w:val="%1)"/>
      <w:lvlJc w:val="left"/>
      <w:pPr>
        <w:ind w:left="680" w:hanging="340"/>
      </w:pPr>
      <w:rPr>
        <w:rFonts w:hint="default"/>
      </w:rPr>
    </w:lvl>
    <w:lvl w:ilvl="1">
      <w:start w:val="1"/>
      <w:numFmt w:val="lowerLetter"/>
      <w:lvlText w:val="%2)"/>
      <w:lvlJc w:val="left"/>
      <w:pPr>
        <w:ind w:left="1021" w:hanging="341"/>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2331852"/>
    <w:multiLevelType w:val="multilevel"/>
    <w:tmpl w:val="DD9E7C10"/>
    <w:lvl w:ilvl="0">
      <w:start w:val="1"/>
      <w:numFmt w:val="decimal"/>
      <w:lvlText w:val="%1)"/>
      <w:lvlJc w:val="left"/>
      <w:pPr>
        <w:ind w:left="680" w:hanging="340"/>
      </w:pPr>
      <w:rPr>
        <w:rFonts w:hint="default"/>
      </w:rPr>
    </w:lvl>
    <w:lvl w:ilvl="1">
      <w:start w:val="1"/>
      <w:numFmt w:val="lowerLetter"/>
      <w:lvlText w:val="%2)"/>
      <w:lvlJc w:val="left"/>
      <w:pPr>
        <w:ind w:left="1021" w:hanging="341"/>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9241505"/>
    <w:multiLevelType w:val="multilevel"/>
    <w:tmpl w:val="8BF8417A"/>
    <w:lvl w:ilvl="0">
      <w:start w:val="1"/>
      <w:numFmt w:val="upp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FC42DA1"/>
    <w:multiLevelType w:val="hybridMultilevel"/>
    <w:tmpl w:val="722A54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A961C4"/>
    <w:multiLevelType w:val="hybridMultilevel"/>
    <w:tmpl w:val="E29C01A2"/>
    <w:lvl w:ilvl="0" w:tplc="04090011">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061787">
    <w:abstractNumId w:val="0"/>
  </w:num>
  <w:num w:numId="2" w16cid:durableId="2117821805">
    <w:abstractNumId w:val="2"/>
  </w:num>
  <w:num w:numId="3" w16cid:durableId="1382753157">
    <w:abstractNumId w:val="4"/>
  </w:num>
  <w:num w:numId="4" w16cid:durableId="679895308">
    <w:abstractNumId w:val="1"/>
  </w:num>
  <w:num w:numId="5" w16cid:durableId="21428391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696"/>
    <w:rsid w:val="00101CF7"/>
    <w:rsid w:val="001220A5"/>
    <w:rsid w:val="00357018"/>
    <w:rsid w:val="00647696"/>
    <w:rsid w:val="00AA7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16538E-154D-444F-9173-EC01C8B98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018"/>
    <w:pPr>
      <w:spacing w:line="259" w:lineRule="auto"/>
    </w:pPr>
    <w:rPr>
      <w:rFonts w:ascii="Calibri" w:hAnsi="Calibri"/>
      <w:sz w:val="22"/>
      <w:szCs w:val="22"/>
      <w:lang w:val="en-GB"/>
    </w:rPr>
  </w:style>
  <w:style w:type="paragraph" w:styleId="Heading1">
    <w:name w:val="heading 1"/>
    <w:basedOn w:val="Normal"/>
    <w:next w:val="Normal"/>
    <w:link w:val="Heading1Char"/>
    <w:uiPriority w:val="9"/>
    <w:qFormat/>
    <w:rsid w:val="006476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76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76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76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76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76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76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76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76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76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76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76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76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76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76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76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76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7696"/>
    <w:rPr>
      <w:rFonts w:eastAsiaTheme="majorEastAsia" w:cstheme="majorBidi"/>
      <w:color w:val="272727" w:themeColor="text1" w:themeTint="D8"/>
    </w:rPr>
  </w:style>
  <w:style w:type="paragraph" w:styleId="Title">
    <w:name w:val="Title"/>
    <w:basedOn w:val="Normal"/>
    <w:next w:val="Normal"/>
    <w:link w:val="TitleChar"/>
    <w:uiPriority w:val="10"/>
    <w:qFormat/>
    <w:rsid w:val="006476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76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76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76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7696"/>
    <w:pPr>
      <w:spacing w:before="160"/>
      <w:jc w:val="center"/>
    </w:pPr>
    <w:rPr>
      <w:i/>
      <w:iCs/>
      <w:color w:val="404040" w:themeColor="text1" w:themeTint="BF"/>
    </w:rPr>
  </w:style>
  <w:style w:type="character" w:customStyle="1" w:styleId="QuoteChar">
    <w:name w:val="Quote Char"/>
    <w:basedOn w:val="DefaultParagraphFont"/>
    <w:link w:val="Quote"/>
    <w:uiPriority w:val="29"/>
    <w:rsid w:val="00647696"/>
    <w:rPr>
      <w:i/>
      <w:iCs/>
      <w:color w:val="404040" w:themeColor="text1" w:themeTint="BF"/>
    </w:rPr>
  </w:style>
  <w:style w:type="paragraph" w:styleId="ListParagraph">
    <w:name w:val="List Paragraph"/>
    <w:basedOn w:val="Normal"/>
    <w:uiPriority w:val="34"/>
    <w:qFormat/>
    <w:rsid w:val="00647696"/>
    <w:pPr>
      <w:ind w:left="720"/>
      <w:contextualSpacing/>
    </w:pPr>
  </w:style>
  <w:style w:type="character" w:styleId="IntenseEmphasis">
    <w:name w:val="Intense Emphasis"/>
    <w:basedOn w:val="DefaultParagraphFont"/>
    <w:uiPriority w:val="21"/>
    <w:qFormat/>
    <w:rsid w:val="00647696"/>
    <w:rPr>
      <w:i/>
      <w:iCs/>
      <w:color w:val="0F4761" w:themeColor="accent1" w:themeShade="BF"/>
    </w:rPr>
  </w:style>
  <w:style w:type="paragraph" w:styleId="IntenseQuote">
    <w:name w:val="Intense Quote"/>
    <w:basedOn w:val="Normal"/>
    <w:next w:val="Normal"/>
    <w:link w:val="IntenseQuoteChar"/>
    <w:uiPriority w:val="30"/>
    <w:qFormat/>
    <w:rsid w:val="006476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7696"/>
    <w:rPr>
      <w:i/>
      <w:iCs/>
      <w:color w:val="0F4761" w:themeColor="accent1" w:themeShade="BF"/>
    </w:rPr>
  </w:style>
  <w:style w:type="character" w:styleId="IntenseReference">
    <w:name w:val="Intense Reference"/>
    <w:basedOn w:val="DefaultParagraphFont"/>
    <w:uiPriority w:val="32"/>
    <w:qFormat/>
    <w:rsid w:val="006476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3376</Characters>
  <Application>Microsoft Office Word</Application>
  <DocSecurity>0</DocSecurity>
  <Lines>28</Lines>
  <Paragraphs>7</Paragraphs>
  <ScaleCrop>false</ScaleCrop>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Gonashvili</dc:creator>
  <cp:keywords/>
  <dc:description/>
  <cp:lastModifiedBy>Nino Gonashvili</cp:lastModifiedBy>
  <cp:revision>2</cp:revision>
  <dcterms:created xsi:type="dcterms:W3CDTF">2026-03-11T13:39:00Z</dcterms:created>
  <dcterms:modified xsi:type="dcterms:W3CDTF">2026-03-11T13:39:00Z</dcterms:modified>
</cp:coreProperties>
</file>